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Default Extension="wmf" ContentType="image/x-wmf"/>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Default Extension="bin" ContentType="application/vnd.openxmlformats-officedocument.oleObject"/>
  <Override PartName="/customXml/itemProps1.xml" ContentType="application/vnd.openxmlformats-officedocument.customXmlProperties+xml"/>
  <Override PartName="/word/footnotes.xml" ContentType="application/vnd.openxmlformats-officedocument.wordprocessingml.footnotes+xml"/>
  <Override PartName="/word/styles.xml" ContentType="application/vnd.openxmlformats-officedocument.wordprocessingml.styles+xml"/>
  <Override PartName="/word/webSettings.xml" ContentType="application/vnd.openxmlformats-officedocument.wordprocessingml.webSettings+xml"/>
  <Default Extension="rels" ContentType="application/vnd.openxmlformats-package.relationships+xml"/>
  <Override PartName="/word/theme/theme1.xml" ContentType="application/vnd.openxmlformats-officedocument.theme+xml"/>
  <Override PartName="/word/endnotes.xml" ContentType="application/vnd.openxmlformats-officedocument.wordprocessingml.endnotes+xml"/>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49332F" w:rsidRDefault="00BF05E3">
      <w:pPr>
        <w:spacing w:line="480" w:lineRule="atLeast"/>
        <w:jc w:val="center"/>
        <w:rPr>
          <w:b/>
          <w:bCs/>
          <w:noProof w:val="0"/>
        </w:rPr>
      </w:pPr>
      <w:r>
        <w:rPr>
          <w:b/>
          <w:bCs/>
          <w:noProof w:val="0"/>
        </w:rPr>
        <w:t>Infantile Features, Human Preferences, and the</w:t>
      </w:r>
    </w:p>
    <w:p w:rsidR="0049332F" w:rsidRPr="004A7E05" w:rsidRDefault="00BF05E3">
      <w:pPr>
        <w:spacing w:line="480" w:lineRule="atLeast"/>
        <w:jc w:val="center"/>
        <w:rPr>
          <w:b/>
          <w:bCs/>
          <w:noProof w:val="0"/>
          <w:vertAlign w:val="superscript"/>
        </w:rPr>
      </w:pPr>
      <w:r>
        <w:rPr>
          <w:b/>
          <w:bCs/>
          <w:noProof w:val="0"/>
        </w:rPr>
        <w:t>Evolution of the Teddy Bear</w:t>
      </w:r>
      <w:r w:rsidR="004A7E05">
        <w:rPr>
          <w:rStyle w:val="FootnoteReference"/>
          <w:b/>
          <w:bCs/>
          <w:noProof w:val="0"/>
        </w:rPr>
        <w:footnoteReference w:id="2"/>
      </w:r>
    </w:p>
    <w:p w:rsidR="0049332F" w:rsidRDefault="00BF05E3">
      <w:pPr>
        <w:spacing w:line="480" w:lineRule="atLeast"/>
        <w:jc w:val="center"/>
        <w:rPr>
          <w:noProof w:val="0"/>
        </w:rPr>
      </w:pPr>
      <w:r>
        <w:rPr>
          <w:noProof w:val="0"/>
        </w:rPr>
        <w:t>By</w:t>
      </w:r>
    </w:p>
    <w:p w:rsidR="0049332F" w:rsidRDefault="00B41D58">
      <w:pPr>
        <w:tabs>
          <w:tab w:val="left" w:pos="0"/>
          <w:tab w:val="left" w:pos="6192"/>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 w:val="left" w:pos="29520"/>
          <w:tab w:val="left" w:pos="30240"/>
          <w:tab w:val="left" w:pos="30960"/>
          <w:tab w:val="left" w:pos="31680"/>
          <w:tab w:val="left" w:pos="31680"/>
          <w:tab w:val="left" w:pos="0"/>
          <w:tab w:val="left" w:pos="6192"/>
          <w:tab w:val="left" w:pos="6480"/>
          <w:tab w:val="left" w:pos="7200"/>
        </w:tabs>
        <w:spacing w:line="240" w:lineRule="atLeast"/>
        <w:jc w:val="center"/>
        <w:rPr>
          <w:noProof w:val="0"/>
        </w:rPr>
      </w:pPr>
      <w:r>
        <w:rPr>
          <w:noProof w:val="0"/>
        </w:rPr>
        <w:t>Linda S. Manzer</w:t>
      </w:r>
    </w:p>
    <w:p w:rsidR="0049332F" w:rsidRDefault="00BF05E3">
      <w:pPr>
        <w:tabs>
          <w:tab w:val="left" w:pos="0"/>
          <w:tab w:val="left" w:pos="6192"/>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 w:val="left" w:pos="29520"/>
          <w:tab w:val="left" w:pos="30240"/>
          <w:tab w:val="left" w:pos="30960"/>
          <w:tab w:val="left" w:pos="31680"/>
          <w:tab w:val="left" w:pos="31680"/>
          <w:tab w:val="left" w:pos="0"/>
          <w:tab w:val="left" w:pos="6192"/>
          <w:tab w:val="left" w:pos="6480"/>
          <w:tab w:val="left" w:pos="7200"/>
        </w:tabs>
        <w:spacing w:line="240" w:lineRule="atLeast"/>
        <w:jc w:val="center"/>
        <w:rPr>
          <w:noProof w:val="0"/>
        </w:rPr>
      </w:pPr>
      <w:r>
        <w:rPr>
          <w:noProof w:val="0"/>
        </w:rPr>
        <w:t>and</w:t>
      </w:r>
    </w:p>
    <w:p w:rsidR="0049332F" w:rsidRDefault="00BF05E3">
      <w:pPr>
        <w:tabs>
          <w:tab w:val="left" w:pos="0"/>
          <w:tab w:val="left" w:pos="6048"/>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 w:val="left" w:pos="29520"/>
          <w:tab w:val="left" w:pos="30240"/>
          <w:tab w:val="left" w:pos="30960"/>
          <w:tab w:val="left" w:pos="31680"/>
          <w:tab w:val="left" w:pos="31680"/>
          <w:tab w:val="left" w:pos="0"/>
          <w:tab w:val="left" w:pos="6048"/>
          <w:tab w:val="left" w:pos="6480"/>
          <w:tab w:val="left" w:pos="7200"/>
        </w:tabs>
        <w:spacing w:line="240" w:lineRule="atLeast"/>
        <w:jc w:val="center"/>
        <w:rPr>
          <w:noProof w:val="0"/>
        </w:rPr>
      </w:pPr>
      <w:r>
        <w:rPr>
          <w:noProof w:val="0"/>
        </w:rPr>
        <w:t>Fred H. Harrington</w:t>
      </w:r>
    </w:p>
    <w:p w:rsidR="0049332F" w:rsidRDefault="0049332F">
      <w:pPr>
        <w:tabs>
          <w:tab w:val="left" w:pos="0"/>
          <w:tab w:val="left" w:pos="6048"/>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 w:val="left" w:pos="29520"/>
          <w:tab w:val="left" w:pos="30240"/>
          <w:tab w:val="left" w:pos="30960"/>
          <w:tab w:val="left" w:pos="31680"/>
          <w:tab w:val="left" w:pos="31680"/>
          <w:tab w:val="left" w:pos="0"/>
          <w:tab w:val="left" w:pos="6048"/>
          <w:tab w:val="left" w:pos="6480"/>
          <w:tab w:val="left" w:pos="7200"/>
        </w:tabs>
        <w:spacing w:line="240" w:lineRule="atLeast"/>
        <w:jc w:val="center"/>
        <w:rPr>
          <w:noProof w:val="0"/>
        </w:rPr>
      </w:pPr>
    </w:p>
    <w:p w:rsidR="0049332F" w:rsidRDefault="00BF05E3">
      <w:pPr>
        <w:tabs>
          <w:tab w:val="left" w:pos="0"/>
          <w:tab w:val="left" w:pos="6048"/>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 w:val="left" w:pos="29520"/>
          <w:tab w:val="left" w:pos="30240"/>
          <w:tab w:val="left" w:pos="30960"/>
          <w:tab w:val="left" w:pos="31680"/>
          <w:tab w:val="left" w:pos="31680"/>
          <w:tab w:val="left" w:pos="0"/>
          <w:tab w:val="left" w:pos="6048"/>
          <w:tab w:val="left" w:pos="6480"/>
          <w:tab w:val="left" w:pos="7200"/>
        </w:tabs>
        <w:spacing w:line="240" w:lineRule="atLeast"/>
        <w:jc w:val="center"/>
        <w:rPr>
          <w:noProof w:val="0"/>
        </w:rPr>
      </w:pPr>
      <w:r>
        <w:rPr>
          <w:noProof w:val="0"/>
        </w:rPr>
        <w:t>Department of Psychology</w:t>
      </w: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jc w:val="center"/>
        <w:rPr>
          <w:noProof w:val="0"/>
        </w:rPr>
      </w:pPr>
      <w:r>
        <w:rPr>
          <w:noProof w:val="0"/>
        </w:rPr>
        <w:t>Mount Saint Vincent University</w:t>
      </w: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jc w:val="center"/>
        <w:rPr>
          <w:noProof w:val="0"/>
        </w:rPr>
      </w:pPr>
      <w:r>
        <w:rPr>
          <w:noProof w:val="0"/>
        </w:rPr>
        <w:t>Halifax, Nova Scotia B3M 2J6</w:t>
      </w: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jc w:val="center"/>
        <w:rPr>
          <w:noProof w:val="0"/>
        </w:rPr>
      </w:pPr>
      <w:r>
        <w:rPr>
          <w:noProof w:val="0"/>
        </w:rPr>
        <w:t>Canada.</w:t>
      </w:r>
    </w:p>
    <w:p w:rsidR="0049332F" w:rsidRDefault="004933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rPr>
          <w:noProof w:val="0"/>
        </w:rPr>
      </w:pP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480" w:lineRule="atLeast"/>
        <w:jc w:val="center"/>
        <w:rPr>
          <w:noProof w:val="0"/>
        </w:rPr>
      </w:pPr>
      <w:r>
        <w:rPr>
          <w:noProof w:val="0"/>
        </w:rPr>
        <w:t>© 2002</w:t>
      </w:r>
    </w:p>
    <w:p w:rsidR="0049332F" w:rsidRDefault="0049332F">
      <w:pPr>
        <w:spacing w:line="480" w:lineRule="atLeast"/>
        <w:jc w:val="center"/>
        <w:rPr>
          <w:noProof w:val="0"/>
        </w:rPr>
      </w:pP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480" w:lineRule="atLeast"/>
        <w:rPr>
          <w:noProof w:val="0"/>
        </w:rPr>
      </w:pPr>
      <w:r>
        <w:rPr>
          <w:noProof w:val="0"/>
        </w:rPr>
        <w:t xml:space="preserve">Infantile features in </w:t>
      </w:r>
      <w:r w:rsidR="00197FFD">
        <w:rPr>
          <w:noProof w:val="0"/>
        </w:rPr>
        <w:t>humans</w:t>
      </w:r>
      <w:r>
        <w:rPr>
          <w:noProof w:val="0"/>
        </w:rPr>
        <w:t xml:space="preserve"> and other species serve as innate releasers for care-taking responses and the inhibition of aggression (Lorenz 1943, 1971; Gardiner &amp; Wallach 1965; Huckstedt 1965; Harper 1971; Hildebrandt &amp; Fitzgerald 1978; Alley 1983a, 1983b).  In humans, it has been suggested that these features influence responses to nonhuman objects, such as dolls, stuffed animals and pets (Lorenz 1971; Gould 1980; Hinde &amp; Barden 1985).  Gould (1980) explored the "evolutionary transformation" (p. 97) of Mickey Mouse, in which he has become progressively more juvenile in appearance while retaining his chronological age.  A "parallel evolution in an unrelated species" (Hinde &amp; Barden, 1985:1371) has also been documented.  When originated around 1900, the teddy bear was characterized by adult-like features, in particular, a low forehead and long snout.  Since then, a trend toward more juvenile features (larger forehead and shorter snout) has occurred.  Hinde and Barden suggest that these changes reflect "a form of selection determined by human preferences" (p.1372). The present study sought to test that hypothesis.</w:t>
      </w:r>
    </w:p>
    <w:p w:rsidR="0049332F" w:rsidRDefault="00BF05E3">
      <w:pPr>
        <w:tabs>
          <w:tab w:val="left" w:pos="0"/>
          <w:tab w:val="left" w:pos="720"/>
          <w:tab w:val="left" w:pos="9216"/>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 w:val="left" w:pos="29520"/>
          <w:tab w:val="left" w:pos="30240"/>
          <w:tab w:val="left" w:pos="30960"/>
          <w:tab w:val="left" w:pos="31680"/>
          <w:tab w:val="left" w:pos="31680"/>
          <w:tab w:val="left" w:pos="-31680"/>
          <w:tab w:val="left" w:pos="-31680"/>
          <w:tab w:val="left" w:pos="-30976"/>
          <w:tab w:val="left" w:pos="-30256"/>
          <w:tab w:val="left" w:pos="0"/>
          <w:tab w:val="left" w:pos="9216"/>
          <w:tab w:val="left" w:pos="9360"/>
          <w:tab w:val="left" w:pos="10080"/>
          <w:tab w:val="left" w:pos="-30976"/>
          <w:tab w:val="left" w:pos="-30256"/>
        </w:tabs>
        <w:spacing w:line="480" w:lineRule="atLeast"/>
        <w:rPr>
          <w:noProof w:val="0"/>
        </w:rPr>
      </w:pPr>
      <w:r>
        <w:rPr>
          <w:noProof w:val="0"/>
        </w:rPr>
        <w:t xml:space="preserve"> </w:t>
      </w:r>
      <w:r>
        <w:rPr>
          <w:noProof w:val="0"/>
        </w:rPr>
        <w:tab/>
        <w:t xml:space="preserve">We employed a 2X2 factorial design, manipulating the relative length of snout and the relative size of forehead.  The four teddy bears used were adapted from "The Vogue Bear" pattern (Vogue pattern #8658).  Snout ratios (tip of snout to back of head/top of head to base of head) of 0.9 and 1.4 and Forehead ratios (eyes to top of head/eyes to base of head) of 0.8 and 2.0 were chosen </w:t>
      </w:r>
      <w:r w:rsidR="00197FFD">
        <w:rPr>
          <w:noProof w:val="0"/>
        </w:rPr>
        <w:t>to represent</w:t>
      </w:r>
      <w:r>
        <w:rPr>
          <w:noProof w:val="0"/>
        </w:rPr>
        <w:t xml:space="preserve"> opposite ends of their respective distributions as measured in a sample of teddy bears produced over an 80-year span (Hinde and Barden 1985).  All other features were identical.</w:t>
      </w: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0"/>
          <w:tab w:val="left" w:pos="720"/>
          <w:tab w:val="left" w:pos="1440"/>
          <w:tab w:val="left" w:pos="2160"/>
        </w:tabs>
        <w:spacing w:line="480" w:lineRule="atLeast"/>
        <w:ind w:firstLine="720"/>
        <w:rPr>
          <w:noProof w:val="0"/>
        </w:rPr>
      </w:pPr>
      <w:r>
        <w:rPr>
          <w:noProof w:val="0"/>
        </w:rPr>
        <w:t>Five hundred and four subjects (283 F/221 M) ranging from 3-58 years of age were recruited from a variety of sources.  Seven age categories were used (3-5, 6-8, 9-11, 12-14, 15-17, 18-20, and 21+).  Each subject was presented simultaneously with two of the bears and asked "Which one of these bears do you like the best?" Subjects were then asked "Can you tell me why you like that bear?"  Time required for each subject was approximately 5 minutes.  Each subject was presented with only one of six possible combinations of pairs.  The six combinations were randomly presented across sex and age classes until a sample of 84 was obtained for each pair-combination.</w:t>
      </w:r>
    </w:p>
    <w:p w:rsidR="0049332F" w:rsidRDefault="00BF05E3">
      <w:pPr>
        <w:tabs>
          <w:tab w:val="left" w:pos="0"/>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0"/>
          <w:tab w:val="left" w:pos="576"/>
          <w:tab w:val="left" w:pos="720"/>
          <w:tab w:val="left" w:pos="14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31680"/>
          <w:tab w:val="left" w:pos="-31680"/>
          <w:tab w:val="left" w:pos="-30976"/>
          <w:tab w:val="left" w:pos="-30256"/>
          <w:tab w:val="left" w:pos="0"/>
          <w:tab w:val="left" w:pos="9216"/>
          <w:tab w:val="left" w:pos="9360"/>
          <w:tab w:val="left" w:pos="10080"/>
          <w:tab w:val="left" w:pos="-30976"/>
          <w:tab w:val="left" w:pos="-30256"/>
        </w:tabs>
        <w:spacing w:line="480" w:lineRule="atLeast"/>
        <w:ind w:firstLine="576"/>
        <w:rPr>
          <w:noProof w:val="0"/>
        </w:rPr>
      </w:pPr>
      <w:r>
        <w:rPr>
          <w:noProof w:val="0"/>
        </w:rPr>
        <w:t xml:space="preserve">Loglinear models and chi-square tests of homogeneity indicated no significant interaction between sex or age and the subjects' choice of bears.  Overall, Bear A was chosen most often (n = 196), followed by Bears B and C (n = 112 and 132, respectively) and finally Bear D (n = 64).  In all choice conditions, the bear with more infantile features was chosen significantly more often than the bear with fewer infantile features (Fig. 1).  The difference in frequency of choice was greatest between Bears A and D, which </w:t>
      </w:r>
      <w:r w:rsidR="00197FFD">
        <w:rPr>
          <w:noProof w:val="0"/>
        </w:rPr>
        <w:t>represent</w:t>
      </w:r>
      <w:r>
        <w:rPr>
          <w:noProof w:val="0"/>
        </w:rPr>
        <w:t xml:space="preserve"> opposite ends of the infantile-adult continuum.</w:t>
      </w: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0"/>
          <w:tab w:val="left" w:pos="720"/>
          <w:tab w:val="left" w:pos="1440"/>
          <w:tab w:val="left" w:pos="2160"/>
        </w:tabs>
        <w:spacing w:line="480" w:lineRule="atLeast"/>
        <w:ind w:firstLine="720"/>
        <w:rPr>
          <w:noProof w:val="0"/>
        </w:rPr>
      </w:pPr>
      <w:r>
        <w:rPr>
          <w:noProof w:val="0"/>
        </w:rPr>
        <w:t xml:space="preserve">The only choice condition not resulting in a significant preference occurred for Bears B and C, </w:t>
      </w:r>
      <w:r w:rsidR="00197FFD">
        <w:rPr>
          <w:noProof w:val="0"/>
        </w:rPr>
        <w:t xml:space="preserve">each of </w:t>
      </w:r>
      <w:r>
        <w:rPr>
          <w:noProof w:val="0"/>
        </w:rPr>
        <w:t xml:space="preserve">which shared a mixture, although different, of adult and infantile features.  Bear C with its long snout (adultlike) and large forehead (infantile) was consistently preferred over Bear B with its short snout (infantile) and small forehead (adultlike).  This suggests that the forehead or placement of the eyes may be a more important feature than the relative size of the snout, a manipulation shown to contribute to perceived babyishness in a number of investigations (Hess 1970; Berry &amp; McArthur 1985; Sternglanz </w:t>
      </w:r>
      <w:r>
        <w:rPr>
          <w:noProof w:val="0"/>
          <w:u w:val="single"/>
        </w:rPr>
        <w:t>et</w:t>
      </w:r>
      <w:r>
        <w:rPr>
          <w:noProof w:val="0"/>
        </w:rPr>
        <w:t xml:space="preserve"> </w:t>
      </w:r>
      <w:r>
        <w:rPr>
          <w:noProof w:val="0"/>
          <w:u w:val="single"/>
        </w:rPr>
        <w:t>al</w:t>
      </w:r>
      <w:r>
        <w:rPr>
          <w:noProof w:val="0"/>
        </w:rPr>
        <w:t>. 1977).  Interestingly, however, only one subject in this study commented on the forehead, while the eyes, whose placement determines the relative size of the forehead, were mentioned only 8 times.  On the other hand, the snout was singled out for mention 136 times.  This suggests that, although the snout may be a more salient feature, the forehead may in fact be the more powerful, albeit subtle, feature in determining subjects' preferences.</w:t>
      </w:r>
    </w:p>
    <w:p w:rsidR="0049332F" w:rsidRDefault="0049332F">
      <w:pPr>
        <w:tabs>
          <w:tab w:val="left" w:pos="0"/>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0"/>
          <w:tab w:val="left" w:pos="576"/>
          <w:tab w:val="left" w:pos="720"/>
          <w:tab w:val="left" w:pos="14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31680"/>
          <w:tab w:val="left" w:pos="-31680"/>
          <w:tab w:val="left" w:pos="-30976"/>
          <w:tab w:val="left" w:pos="-30256"/>
          <w:tab w:val="left" w:pos="0"/>
          <w:tab w:val="left" w:pos="9216"/>
          <w:tab w:val="left" w:pos="9360"/>
          <w:tab w:val="left" w:pos="10080"/>
          <w:tab w:val="left" w:pos="-30976"/>
          <w:tab w:val="left" w:pos="-30256"/>
        </w:tabs>
        <w:spacing w:line="480" w:lineRule="atLeast"/>
        <w:ind w:firstLine="576"/>
        <w:rPr>
          <w:noProof w:val="0"/>
        </w:rPr>
      </w:pPr>
    </w:p>
    <w:p w:rsidR="0049332F" w:rsidRDefault="00BF05E3">
      <w:pPr>
        <w:tabs>
          <w:tab w:val="left" w:pos="0"/>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0"/>
          <w:tab w:val="left" w:pos="576"/>
          <w:tab w:val="left" w:pos="720"/>
          <w:tab w:val="left" w:pos="14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31680"/>
          <w:tab w:val="left" w:pos="-31680"/>
          <w:tab w:val="left" w:pos="-30976"/>
          <w:tab w:val="left" w:pos="-30256"/>
          <w:tab w:val="left" w:pos="0"/>
          <w:tab w:val="left" w:pos="9216"/>
          <w:tab w:val="left" w:pos="9360"/>
          <w:tab w:val="left" w:pos="10080"/>
          <w:tab w:val="left" w:pos="-30976"/>
          <w:tab w:val="left" w:pos="-30256"/>
        </w:tabs>
        <w:spacing w:line="480" w:lineRule="atLeast"/>
        <w:ind w:firstLine="576"/>
      </w:pPr>
      <w:r>
        <w:object w:dxaOrig="7425" w:dyaOrig="59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1pt;height:299pt" o:ole="">
            <v:imagedata r:id="rId7" o:title=""/>
          </v:shape>
          <o:OLEObject Type="Embed" ProgID="MSWorks4Sheet" ShapeID="_x0000_i1025" DrawAspect="Content" ObjectID="_1194193982" r:id="rId8">
            <o:FieldCodes>\s</o:FieldCodes>
          </o:OLEObject>
        </w:object>
      </w:r>
    </w:p>
    <w:p w:rsidR="0049332F" w:rsidRDefault="00BF05E3">
      <w:pPr>
        <w:pStyle w:val="BlockText"/>
        <w:ind w:left="1296" w:hanging="576"/>
      </w:pPr>
      <w:r>
        <w:t>Figure 1. Frequency of choice within pairs of Teddy Bears differing in Snout Ratio (SN) and Forehead Ratio (FR).  SN and FR for individual bears are: Bear A (0.9/2.0)(2 infantile features); Bear B (0.9/0.8)(1 infantile feature); Bear C (1.4/2.0)(1 infantile feature) and Bear D (1.4/0.8)(no infantile features).  Within all pairs except BC, the bear with more infantile features was chosen significantly more often (P &lt; .001). For pair BC, each bear had a single albeit different infantile feature; no significant difference in choice was found between the two.</w:t>
      </w:r>
    </w:p>
    <w:p w:rsidR="0049332F" w:rsidRDefault="0049332F">
      <w:pPr>
        <w:tabs>
          <w:tab w:val="left" w:pos="0"/>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0"/>
          <w:tab w:val="left" w:pos="576"/>
          <w:tab w:val="left" w:pos="720"/>
          <w:tab w:val="left" w:pos="14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31680"/>
          <w:tab w:val="left" w:pos="-31680"/>
          <w:tab w:val="left" w:pos="-30976"/>
          <w:tab w:val="left" w:pos="-30256"/>
          <w:tab w:val="left" w:pos="0"/>
          <w:tab w:val="left" w:pos="9216"/>
          <w:tab w:val="left" w:pos="9360"/>
          <w:tab w:val="left" w:pos="10080"/>
          <w:tab w:val="left" w:pos="-30976"/>
          <w:tab w:val="left" w:pos="-30256"/>
        </w:tabs>
        <w:ind w:left="720" w:right="720"/>
        <w:rPr>
          <w:noProof w:val="0"/>
        </w:rPr>
      </w:pP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0"/>
          <w:tab w:val="left" w:pos="720"/>
          <w:tab w:val="left" w:pos="1440"/>
          <w:tab w:val="left" w:pos="2160"/>
          <w:tab w:val="left" w:pos="0"/>
          <w:tab w:val="left" w:pos="720"/>
          <w:tab w:val="left" w:pos="1440"/>
          <w:tab w:val="left" w:pos="2160"/>
          <w:tab w:val="left" w:pos="0"/>
          <w:tab w:val="left" w:pos="720"/>
          <w:tab w:val="left" w:pos="14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31680"/>
          <w:tab w:val="left" w:pos="-31680"/>
          <w:tab w:val="left" w:pos="-30976"/>
          <w:tab w:val="left" w:pos="-30256"/>
          <w:tab w:val="left" w:pos="0"/>
          <w:tab w:val="left" w:pos="9216"/>
          <w:tab w:val="left" w:pos="9360"/>
          <w:tab w:val="left" w:pos="10080"/>
          <w:tab w:val="left" w:pos="-30976"/>
          <w:tab w:val="left" w:pos="-30256"/>
        </w:tabs>
        <w:spacing w:line="480" w:lineRule="atLeast"/>
        <w:ind w:firstLine="720"/>
        <w:rPr>
          <w:noProof w:val="0"/>
        </w:rPr>
      </w:pPr>
      <w:r>
        <w:rPr>
          <w:noProof w:val="0"/>
        </w:rPr>
        <w:t xml:space="preserve">"Cute" was the most frequent comment made when the more juvenile bear was chosen, accounting for 13% of all comments, while "smiling", "shorter nose", "happier", and "more cuddly" followed at 6%, 4%, 4%, and 3% respectively.  Perceived cuteness and its positive relationship with the babyishness of </w:t>
      </w:r>
      <w:r w:rsidR="005F625A">
        <w:rPr>
          <w:noProof w:val="0"/>
        </w:rPr>
        <w:t>head</w:t>
      </w:r>
      <w:r>
        <w:rPr>
          <w:noProof w:val="0"/>
        </w:rPr>
        <w:t xml:space="preserve"> shape were confirmed by three studies conducted by Alley (1981).  Similarly, Hildebrandt and Fitzgerald (1978) found that infants' perceived cuteness affected adults' behavior towards them.  The relationship between babyishness and perceived cuteness has been documented substantially (Alley 1983a; Cunningham 1986; Gardiner &amp; Wallach 1965; Huckstedt 1965; Sternglanz et al. 1977).  It is interesting that "smiling" and "happier" were frequently used to justify the subjects' choice despite the fact that all the bears' mouths were identical.  This may represent a "halo effect" (Cooper 1981) in which one trait (i.e., happy) is assumed to be present when another trait (i.e., cute) is perceived by the subject.</w:t>
      </w: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0"/>
          <w:tab w:val="left" w:pos="720"/>
          <w:tab w:val="left" w:pos="1440"/>
          <w:tab w:val="left" w:pos="2160"/>
        </w:tabs>
        <w:spacing w:line="480" w:lineRule="atLeast"/>
        <w:ind w:firstLine="720"/>
        <w:rPr>
          <w:noProof w:val="0"/>
        </w:rPr>
      </w:pPr>
      <w:r>
        <w:rPr>
          <w:noProof w:val="0"/>
        </w:rPr>
        <w:t xml:space="preserve">"I like its long nose" accounted for 23% of comments when the less childlike bear was chosen, while "more like a real bear", "bigger </w:t>
      </w:r>
      <w:r w:rsidR="00AC4A46">
        <w:rPr>
          <w:noProof w:val="0"/>
        </w:rPr>
        <w:t>face", "don't like the smooshed-</w:t>
      </w:r>
      <w:r>
        <w:rPr>
          <w:noProof w:val="0"/>
        </w:rPr>
        <w:t>in face" and "cute" accounted for 11%, 7%, 5%, and 5% of the remaining comments, respectively.  Responses were categorized as either physically descriptive (i.e., "I like its long nose") or affectively descriptive (i.e., "This one looks cuter").  The percentages of affective, physical, and no comment</w:t>
      </w:r>
      <w:r w:rsidR="00AC4A46">
        <w:rPr>
          <w:noProof w:val="0"/>
        </w:rPr>
        <w:t>s</w:t>
      </w:r>
      <w:r>
        <w:rPr>
          <w:noProof w:val="0"/>
        </w:rPr>
        <w:t xml:space="preserve"> made were 24%, 43% and 33%, respectively, when the more infantile bear was chosen, and 21%, 54% and 25%, respectively, when the more adultlike bear was chosen.  Females gave relatively more affectively descriptive comments than males (G = 15.14, p&lt;.001), consistent with the greater responsiveness of females to infantile features as found in other studies (Alley 1983a; Fullard &amp; Reiling 1976; Hess 1970; Nash &amp; Feldman 1980).</w:t>
      </w:r>
    </w:p>
    <w:p w:rsidR="0049332F" w:rsidRDefault="00BF05E3">
      <w:pPr>
        <w:tabs>
          <w:tab w:val="left" w:pos="0"/>
          <w:tab w:val="left" w:pos="576"/>
          <w:tab w:val="left" w:pos="0"/>
          <w:tab w:val="left" w:pos="576"/>
          <w:tab w:val="left" w:pos="720"/>
          <w:tab w:val="left" w:pos="1440"/>
          <w:tab w:val="left" w:pos="-31680"/>
          <w:tab w:val="left" w:pos="-31680"/>
          <w:tab w:val="left" w:pos="-30976"/>
          <w:tab w:val="left" w:pos="-30256"/>
          <w:tab w:val="left" w:pos="0"/>
          <w:tab w:val="left" w:pos="2160"/>
          <w:tab w:val="left" w:pos="2880"/>
          <w:tab w:val="left" w:pos="3600"/>
          <w:tab w:val="left" w:pos="4320"/>
          <w:tab w:val="left" w:pos="5040"/>
          <w:tab w:val="left" w:pos="5760"/>
          <w:tab w:val="left" w:pos="6480"/>
          <w:tab w:val="left" w:pos="7200"/>
          <w:tab w:val="left" w:pos="7920"/>
          <w:tab w:val="left" w:pos="8640"/>
          <w:tab w:val="left" w:pos="9216"/>
          <w:tab w:val="left" w:pos="9360"/>
          <w:tab w:val="left" w:pos="10080"/>
          <w:tab w:val="left" w:pos="-30976"/>
          <w:tab w:val="left" w:pos="-30256"/>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480" w:lineRule="atLeast"/>
        <w:ind w:firstLine="576"/>
        <w:rPr>
          <w:noProof w:val="0"/>
        </w:rPr>
      </w:pPr>
      <w:r>
        <w:rPr>
          <w:noProof w:val="0"/>
        </w:rPr>
        <w:t>This study has demonstrated human preferences for infantile features in the teddy bear.  Furthermore, this preference was additi</w:t>
      </w:r>
      <w:r w:rsidR="00AC4A46">
        <w:rPr>
          <w:noProof w:val="0"/>
        </w:rPr>
        <w:t xml:space="preserve">ve.  These </w:t>
      </w:r>
      <w:r>
        <w:rPr>
          <w:noProof w:val="0"/>
        </w:rPr>
        <w:t>data, together with those of Hinde and Barden (1985) and Gould (1980), reinforce the proposal that human preferences act as selective forces in the evolution of nonhuman artifacts.</w:t>
      </w:r>
    </w:p>
    <w:p w:rsidR="0049332F" w:rsidRDefault="00BF05E3">
      <w:pPr>
        <w:tabs>
          <w:tab w:val="left" w:pos="0"/>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576"/>
          <w:tab w:val="left" w:pos="720"/>
          <w:tab w:val="left" w:pos="1440"/>
        </w:tabs>
        <w:spacing w:line="480" w:lineRule="atLeast"/>
        <w:ind w:firstLine="576"/>
        <w:rPr>
          <w:noProof w:val="0"/>
        </w:rPr>
      </w:pPr>
      <w:r>
        <w:rPr>
          <w:noProof w:val="0"/>
        </w:rPr>
        <w:t xml:space="preserve">We thank T. Barrett, D. Furrow and J. Gibson for their assistance at various phases of this study. </w:t>
      </w:r>
    </w:p>
    <w:p w:rsidR="0049332F" w:rsidRDefault="0049332F">
      <w:pPr>
        <w:tabs>
          <w:tab w:val="left" w:pos="0"/>
          <w:tab w:val="left" w:pos="6192"/>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 w:val="left" w:pos="29520"/>
          <w:tab w:val="left" w:pos="30240"/>
          <w:tab w:val="left" w:pos="30960"/>
          <w:tab w:val="left" w:pos="31680"/>
          <w:tab w:val="left" w:pos="31680"/>
          <w:tab w:val="left" w:pos="0"/>
          <w:tab w:val="left" w:pos="6192"/>
          <w:tab w:val="left" w:pos="6480"/>
          <w:tab w:val="left" w:pos="7200"/>
        </w:tabs>
        <w:spacing w:line="240" w:lineRule="atLeast"/>
        <w:rPr>
          <w:noProof w:val="0"/>
        </w:rPr>
      </w:pPr>
    </w:p>
    <w:p w:rsidR="0049332F" w:rsidRDefault="004933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rPr>
          <w:noProof w:val="0"/>
        </w:rPr>
      </w:pP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rPr>
          <w:noProof w:val="0"/>
        </w:rPr>
      </w:pPr>
      <w:r>
        <w:rPr>
          <w:noProof w:val="0"/>
        </w:rPr>
        <w:t>References</w:t>
      </w:r>
    </w:p>
    <w:p w:rsidR="0049332F" w:rsidRDefault="004933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rPr>
          <w:noProof w:val="0"/>
        </w:rPr>
      </w:pP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480" w:lineRule="auto"/>
        <w:ind w:left="720" w:hanging="720"/>
        <w:rPr>
          <w:noProof w:val="0"/>
        </w:rPr>
      </w:pPr>
      <w:r>
        <w:rPr>
          <w:noProof w:val="0"/>
        </w:rPr>
        <w:t xml:space="preserve">Alley, T.R. 1981.  Head shape and the perception of cuteness. </w:t>
      </w:r>
      <w:r>
        <w:rPr>
          <w:noProof w:val="0"/>
          <w:u w:val="single"/>
        </w:rPr>
        <w:t>Dev.  Psychol.</w:t>
      </w:r>
      <w:r>
        <w:rPr>
          <w:noProof w:val="0"/>
        </w:rPr>
        <w:t>, 17, 650-654.</w:t>
      </w: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480" w:lineRule="auto"/>
        <w:ind w:left="720" w:hanging="720"/>
        <w:rPr>
          <w:noProof w:val="0"/>
        </w:rPr>
      </w:pPr>
      <w:r>
        <w:rPr>
          <w:noProof w:val="0"/>
        </w:rPr>
        <w:t xml:space="preserve">Alley, T.R. 1983a.  Infantile head shape as an elicitor of adult protection.  </w:t>
      </w:r>
      <w:r>
        <w:rPr>
          <w:noProof w:val="0"/>
          <w:u w:val="single"/>
        </w:rPr>
        <w:t>Merrill-Palmer Quarterlv</w:t>
      </w:r>
      <w:r>
        <w:rPr>
          <w:noProof w:val="0"/>
        </w:rPr>
        <w:t>, 29, 411-427.</w:t>
      </w:r>
    </w:p>
    <w:p w:rsidR="0049332F" w:rsidRDefault="00BF05E3">
      <w:pPr>
        <w:tabs>
          <w:tab w:val="left" w:pos="0"/>
          <w:tab w:val="left" w:pos="2160"/>
          <w:tab w:val="left" w:pos="2880"/>
          <w:tab w:val="left" w:pos="3600"/>
          <w:tab w:val="left" w:pos="4320"/>
          <w:tab w:val="left" w:pos="5040"/>
          <w:tab w:val="left" w:pos="5760"/>
          <w:tab w:val="left" w:pos="6480"/>
          <w:tab w:val="left" w:pos="7200"/>
          <w:tab w:val="left" w:pos="7920"/>
          <w:tab w:val="left" w:pos="8640"/>
          <w:tab w:val="left" w:pos="0"/>
          <w:tab w:val="left" w:pos="144"/>
          <w:tab w:val="left" w:pos="720"/>
          <w:tab w:val="left" w:pos="144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31680"/>
          <w:tab w:val="left" w:pos="-31680"/>
          <w:tab w:val="left" w:pos="-30976"/>
          <w:tab w:val="left" w:pos="-30256"/>
          <w:tab w:val="left" w:pos="0"/>
          <w:tab w:val="left" w:pos="8928"/>
          <w:tab w:val="left" w:pos="9360"/>
          <w:tab w:val="left" w:pos="10080"/>
          <w:tab w:val="left" w:pos="-30976"/>
          <w:tab w:val="left" w:pos="-30256"/>
        </w:tabs>
        <w:spacing w:line="480" w:lineRule="auto"/>
        <w:ind w:left="720" w:hanging="720"/>
        <w:rPr>
          <w:noProof w:val="0"/>
        </w:rPr>
      </w:pPr>
      <w:r>
        <w:rPr>
          <w:noProof w:val="0"/>
        </w:rPr>
        <w:t xml:space="preserve">Alley, T.R. 1983b.  Growth-produced changes in body shape and size as determinants of perceived age and adult caregiving. </w:t>
      </w:r>
      <w:r>
        <w:rPr>
          <w:noProof w:val="0"/>
          <w:u w:val="single"/>
        </w:rPr>
        <w:t>Child Devel.</w:t>
      </w:r>
      <w:r>
        <w:rPr>
          <w:noProof w:val="0"/>
        </w:rPr>
        <w:t>, 54, 241-248.</w:t>
      </w:r>
    </w:p>
    <w:p w:rsidR="0049332F" w:rsidRDefault="00BF05E3">
      <w:pPr>
        <w:tabs>
          <w:tab w:val="left" w:pos="0"/>
          <w:tab w:val="left" w:pos="144"/>
          <w:tab w:val="left" w:pos="720"/>
          <w:tab w:val="left" w:pos="1440"/>
          <w:tab w:val="left" w:pos="-31680"/>
          <w:tab w:val="left" w:pos="-31680"/>
          <w:tab w:val="left" w:pos="-30976"/>
          <w:tab w:val="left" w:pos="-30256"/>
          <w:tab w:val="left" w:pos="2160"/>
          <w:tab w:val="left" w:pos="2880"/>
          <w:tab w:val="left" w:pos="3600"/>
          <w:tab w:val="left" w:pos="4320"/>
          <w:tab w:val="left" w:pos="5040"/>
          <w:tab w:val="left" w:pos="5760"/>
          <w:tab w:val="left" w:pos="6480"/>
          <w:tab w:val="left" w:pos="7200"/>
          <w:tab w:val="left" w:pos="7920"/>
          <w:tab w:val="left" w:pos="8640"/>
          <w:tab w:val="left" w:pos="8928"/>
          <w:tab w:val="left" w:pos="9360"/>
          <w:tab w:val="left" w:pos="10080"/>
          <w:tab w:val="left" w:pos="-30976"/>
          <w:tab w:val="left" w:pos="-30256"/>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288"/>
          <w:tab w:val="left" w:pos="720"/>
          <w:tab w:val="left" w:pos="1440"/>
        </w:tabs>
        <w:spacing w:line="480" w:lineRule="auto"/>
        <w:ind w:left="720" w:hanging="720"/>
        <w:rPr>
          <w:noProof w:val="0"/>
        </w:rPr>
      </w:pPr>
      <w:r>
        <w:rPr>
          <w:noProof w:val="0"/>
        </w:rPr>
        <w:t xml:space="preserve">Berry, D.S. &amp; McArthur, L.Z. 1985.  Some components and consequences of a babyface.  </w:t>
      </w:r>
      <w:r>
        <w:rPr>
          <w:noProof w:val="0"/>
          <w:u w:val="single"/>
        </w:rPr>
        <w:t>J. Personality Social Psych.</w:t>
      </w:r>
      <w:r>
        <w:rPr>
          <w:noProof w:val="0"/>
        </w:rPr>
        <w:t>, 48, 312-323.</w:t>
      </w:r>
    </w:p>
    <w:p w:rsidR="0049332F" w:rsidRDefault="00BF05E3">
      <w:pPr>
        <w:tabs>
          <w:tab w:val="left" w:pos="0"/>
          <w:tab w:val="left" w:pos="144"/>
          <w:tab w:val="left" w:pos="720"/>
          <w:tab w:val="left" w:pos="1440"/>
          <w:tab w:val="left" w:pos="-31680"/>
          <w:tab w:val="left" w:pos="-31680"/>
          <w:tab w:val="left" w:pos="-30976"/>
          <w:tab w:val="left" w:pos="-30256"/>
          <w:tab w:val="left" w:pos="2160"/>
          <w:tab w:val="left" w:pos="2880"/>
          <w:tab w:val="left" w:pos="3600"/>
          <w:tab w:val="left" w:pos="4320"/>
          <w:tab w:val="left" w:pos="5040"/>
          <w:tab w:val="left" w:pos="5760"/>
          <w:tab w:val="left" w:pos="6480"/>
          <w:tab w:val="left" w:pos="7200"/>
          <w:tab w:val="left" w:pos="7920"/>
          <w:tab w:val="left" w:pos="8640"/>
          <w:tab w:val="left" w:pos="8928"/>
          <w:tab w:val="left" w:pos="9360"/>
          <w:tab w:val="left" w:pos="10080"/>
          <w:tab w:val="left" w:pos="-30976"/>
          <w:tab w:val="left" w:pos="-30256"/>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288"/>
          <w:tab w:val="left" w:pos="720"/>
          <w:tab w:val="left" w:pos="1440"/>
        </w:tabs>
        <w:spacing w:line="480" w:lineRule="auto"/>
        <w:ind w:left="720" w:hanging="720"/>
        <w:rPr>
          <w:noProof w:val="0"/>
        </w:rPr>
      </w:pPr>
      <w:r>
        <w:rPr>
          <w:noProof w:val="0"/>
        </w:rPr>
        <w:t xml:space="preserve">Cooper, W.H. 1981.  Ubiquitous halo.  Psvchol.  </w:t>
      </w:r>
      <w:r>
        <w:rPr>
          <w:noProof w:val="0"/>
          <w:u w:val="single"/>
        </w:rPr>
        <w:t>Bull.</w:t>
      </w:r>
      <w:r>
        <w:rPr>
          <w:noProof w:val="0"/>
        </w:rPr>
        <w:t>, 90, 218-244.</w:t>
      </w:r>
    </w:p>
    <w:p w:rsidR="0049332F" w:rsidRDefault="00BF05E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288"/>
          <w:tab w:val="left" w:pos="720"/>
          <w:tab w:val="left" w:pos="1440"/>
        </w:tabs>
        <w:spacing w:line="480" w:lineRule="auto"/>
        <w:ind w:left="720" w:hanging="720"/>
        <w:rPr>
          <w:noProof w:val="0"/>
        </w:rPr>
      </w:pPr>
      <w:r>
        <w:rPr>
          <w:noProof w:val="0"/>
        </w:rPr>
        <w:t xml:space="preserve">Cunningham, M.R. 1986.  Measuring the physical in physical attractiveness: Quasi-experiments on the sociobiology of female facial beauty.  </w:t>
      </w:r>
      <w:r>
        <w:rPr>
          <w:noProof w:val="0"/>
          <w:u w:val="single"/>
        </w:rPr>
        <w:t>J. Personality Social Psychol.</w:t>
      </w:r>
      <w:r>
        <w:rPr>
          <w:noProof w:val="0"/>
        </w:rPr>
        <w:t>, 50, 925-935.</w:t>
      </w:r>
    </w:p>
    <w:p w:rsidR="0049332F" w:rsidRDefault="00BF05E3">
      <w:pPr>
        <w:tabs>
          <w:tab w:val="left" w:pos="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288"/>
          <w:tab w:val="left" w:pos="720"/>
          <w:tab w:val="left" w:pos="1440"/>
        </w:tabs>
        <w:spacing w:line="480" w:lineRule="auto"/>
        <w:ind w:left="720" w:hanging="720"/>
        <w:rPr>
          <w:noProof w:val="0"/>
        </w:rPr>
      </w:pPr>
      <w:r>
        <w:rPr>
          <w:noProof w:val="0"/>
        </w:rPr>
        <w:t xml:space="preserve">Fullard, W. &amp; Reiling, A.M. 1976.  An investigation of Lorenz’s "babyness".  </w:t>
      </w:r>
      <w:r>
        <w:rPr>
          <w:noProof w:val="0"/>
          <w:u w:val="single"/>
        </w:rPr>
        <w:t>Child</w:t>
      </w:r>
      <w:r>
        <w:rPr>
          <w:noProof w:val="0"/>
        </w:rPr>
        <w:t xml:space="preserve"> Devel., 47, 1191-1193.</w:t>
      </w:r>
    </w:p>
    <w:p w:rsidR="0049332F" w:rsidRDefault="00BF05E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288"/>
          <w:tab w:val="left" w:pos="720"/>
          <w:tab w:val="left" w:pos="1440"/>
        </w:tabs>
        <w:spacing w:line="480" w:lineRule="auto"/>
        <w:ind w:left="720" w:hanging="720"/>
        <w:rPr>
          <w:noProof w:val="0"/>
        </w:rPr>
      </w:pPr>
      <w:r>
        <w:rPr>
          <w:noProof w:val="0"/>
        </w:rPr>
        <w:t xml:space="preserve">Gardner, B.T. &amp; Wallach, L. 1965.  Shapes and figures identified as a baby's head.  </w:t>
      </w:r>
      <w:r>
        <w:rPr>
          <w:noProof w:val="0"/>
          <w:u w:val="single"/>
        </w:rPr>
        <w:t>Percept.  Mot.  Skills</w:t>
      </w:r>
      <w:r>
        <w:rPr>
          <w:noProof w:val="0"/>
        </w:rPr>
        <w:t>, 20, 135-142.</w:t>
      </w:r>
    </w:p>
    <w:p w:rsidR="0049332F" w:rsidRDefault="00BF05E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288"/>
          <w:tab w:val="left" w:pos="720"/>
          <w:tab w:val="left" w:pos="1440"/>
          <w:tab w:val="left" w:pos="0"/>
          <w:tab w:val="left" w:pos="288"/>
          <w:tab w:val="left" w:pos="720"/>
          <w:tab w:val="left" w:pos="1440"/>
          <w:tab w:val="left" w:pos="0"/>
          <w:tab w:val="left" w:pos="288"/>
          <w:tab w:val="left" w:pos="720"/>
        </w:tabs>
        <w:spacing w:line="480" w:lineRule="auto"/>
        <w:ind w:left="720" w:hanging="720"/>
        <w:rPr>
          <w:noProof w:val="0"/>
        </w:rPr>
      </w:pPr>
      <w:r>
        <w:rPr>
          <w:noProof w:val="0"/>
        </w:rPr>
        <w:t xml:space="preserve">Gould, S.J. 1980.  A biological homage to Mickey Mouse.  In: </w:t>
      </w:r>
      <w:r>
        <w:rPr>
          <w:noProof w:val="0"/>
          <w:u w:val="single"/>
        </w:rPr>
        <w:t>The Panda's</w:t>
      </w:r>
      <w:r>
        <w:rPr>
          <w:noProof w:val="0"/>
        </w:rPr>
        <w:t xml:space="preserve"> Thumb, pp.95-107. New York: W.W. Norton &amp; Co. </w:t>
      </w:r>
    </w:p>
    <w:p w:rsidR="0049332F" w:rsidRDefault="00BF05E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288"/>
          <w:tab w:val="left" w:pos="720"/>
          <w:tab w:val="left" w:pos="1440"/>
          <w:tab w:val="left" w:pos="0"/>
          <w:tab w:val="left" w:pos="288"/>
          <w:tab w:val="left" w:pos="720"/>
          <w:tab w:val="left" w:pos="1440"/>
          <w:tab w:val="left" w:pos="0"/>
          <w:tab w:val="left" w:pos="288"/>
          <w:tab w:val="left" w:pos="720"/>
        </w:tabs>
        <w:spacing w:line="480" w:lineRule="auto"/>
        <w:ind w:left="720" w:hanging="720"/>
        <w:rPr>
          <w:noProof w:val="0"/>
        </w:rPr>
      </w:pPr>
      <w:r>
        <w:rPr>
          <w:noProof w:val="0"/>
        </w:rPr>
        <w:t xml:space="preserve">Harper, L.V. 1971.  The young as a source of stimuli controlling caretaker behavior.  </w:t>
      </w:r>
      <w:r>
        <w:rPr>
          <w:noProof w:val="0"/>
          <w:u w:val="single"/>
        </w:rPr>
        <w:t>Dev.  Psychol.</w:t>
      </w:r>
      <w:r>
        <w:rPr>
          <w:noProof w:val="0"/>
        </w:rPr>
        <w:t>, 4, 73-88.</w:t>
      </w:r>
    </w:p>
    <w:p w:rsidR="0049332F" w:rsidRDefault="00BF05E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288"/>
          <w:tab w:val="left" w:pos="720"/>
          <w:tab w:val="left" w:pos="1440"/>
          <w:tab w:val="left" w:pos="0"/>
          <w:tab w:val="left" w:pos="288"/>
          <w:tab w:val="left" w:pos="720"/>
          <w:tab w:val="left" w:pos="1440"/>
          <w:tab w:val="left" w:pos="0"/>
          <w:tab w:val="left" w:pos="288"/>
          <w:tab w:val="left" w:pos="720"/>
        </w:tabs>
        <w:spacing w:line="480" w:lineRule="auto"/>
        <w:ind w:left="720" w:hanging="720"/>
        <w:rPr>
          <w:noProof w:val="0"/>
        </w:rPr>
      </w:pPr>
      <w:r>
        <w:rPr>
          <w:noProof w:val="0"/>
        </w:rPr>
        <w:t xml:space="preserve">Hess, E.H. 1970.  Ethology and developmental psychology.  In: </w:t>
      </w:r>
      <w:r>
        <w:rPr>
          <w:noProof w:val="0"/>
          <w:u w:val="single"/>
        </w:rPr>
        <w:t>Carmichaells Manual of Child Psychology</w:t>
      </w:r>
      <w:r>
        <w:rPr>
          <w:noProof w:val="0"/>
        </w:rPr>
        <w:t xml:space="preserve"> (3rd ed., Vol. 1) (Ed. by P. Mussen), pp.1-38. New York: Wiley.</w:t>
      </w:r>
    </w:p>
    <w:p w:rsidR="0049332F" w:rsidRDefault="00BF05E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288"/>
          <w:tab w:val="left" w:pos="720"/>
          <w:tab w:val="left" w:pos="1440"/>
          <w:tab w:val="left" w:pos="0"/>
          <w:tab w:val="left" w:pos="288"/>
          <w:tab w:val="left" w:pos="720"/>
          <w:tab w:val="left" w:pos="1440"/>
          <w:tab w:val="left" w:pos="0"/>
          <w:tab w:val="left" w:pos="288"/>
          <w:tab w:val="left" w:pos="720"/>
        </w:tabs>
        <w:spacing w:line="480" w:lineRule="auto"/>
        <w:ind w:left="720" w:hanging="720"/>
        <w:rPr>
          <w:noProof w:val="0"/>
        </w:rPr>
      </w:pPr>
      <w:r>
        <w:rPr>
          <w:noProof w:val="0"/>
        </w:rPr>
        <w:t xml:space="preserve">Hildebrandt, K.A., &amp; Fitzgerald, H.E. 1978.  Adult's responses to infants varying in perceived cuteness.  </w:t>
      </w:r>
      <w:r>
        <w:rPr>
          <w:noProof w:val="0"/>
          <w:u w:val="single"/>
        </w:rPr>
        <w:t>Behav.  Processes</w:t>
      </w:r>
      <w:r>
        <w:rPr>
          <w:noProof w:val="0"/>
        </w:rPr>
        <w:t>, 3, 159-172.</w:t>
      </w:r>
    </w:p>
    <w:p w:rsidR="0049332F" w:rsidRDefault="00BF05E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0"/>
          <w:tab w:val="left" w:pos="288"/>
          <w:tab w:val="left" w:pos="720"/>
          <w:tab w:val="left" w:pos="1440"/>
          <w:tab w:val="left" w:pos="0"/>
          <w:tab w:val="left" w:pos="288"/>
          <w:tab w:val="left" w:pos="720"/>
          <w:tab w:val="left" w:pos="1440"/>
          <w:tab w:val="left" w:pos="0"/>
          <w:tab w:val="left" w:pos="288"/>
          <w:tab w:val="left" w:pos="72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31680"/>
          <w:tab w:val="left" w:pos="-31680"/>
          <w:tab w:val="left" w:pos="-30976"/>
          <w:tab w:val="left" w:pos="-30256"/>
          <w:tab w:val="left" w:pos="0"/>
          <w:tab w:val="left" w:pos="9216"/>
          <w:tab w:val="left" w:pos="9360"/>
          <w:tab w:val="left" w:pos="10080"/>
          <w:tab w:val="left" w:pos="-30976"/>
          <w:tab w:val="left" w:pos="-30256"/>
        </w:tabs>
        <w:spacing w:line="480" w:lineRule="auto"/>
        <w:ind w:left="720" w:hanging="720"/>
        <w:rPr>
          <w:noProof w:val="0"/>
        </w:rPr>
      </w:pPr>
      <w:r>
        <w:rPr>
          <w:noProof w:val="0"/>
        </w:rPr>
        <w:t xml:space="preserve">Hinde, R.A., &amp; Barden, L.A. 1985.  The evolution of the teddy bear.  Anim.  </w:t>
      </w:r>
      <w:r>
        <w:rPr>
          <w:noProof w:val="0"/>
          <w:u w:val="single"/>
        </w:rPr>
        <w:t>Behav.,</w:t>
      </w:r>
      <w:r>
        <w:rPr>
          <w:noProof w:val="0"/>
        </w:rPr>
        <w:t>, 33, 1371-1372.</w:t>
      </w:r>
    </w:p>
    <w:p w:rsidR="0049332F" w:rsidRDefault="00BF05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480" w:lineRule="auto"/>
        <w:ind w:left="720" w:hanging="720"/>
        <w:rPr>
          <w:noProof w:val="0"/>
        </w:rPr>
      </w:pPr>
      <w:r>
        <w:rPr>
          <w:noProof w:val="0"/>
        </w:rPr>
        <w:t xml:space="preserve">Huckstedt, B. 1965.  Experimentelle Untersuchungen zum 'Kindchenschemal.  </w:t>
      </w:r>
      <w:r>
        <w:rPr>
          <w:noProof w:val="0"/>
          <w:u w:val="single"/>
        </w:rPr>
        <w:t>Z. exper. angew.  Psychol.</w:t>
      </w:r>
      <w:r>
        <w:rPr>
          <w:noProof w:val="0"/>
        </w:rPr>
        <w:t>, 12, 421-450.</w:t>
      </w:r>
    </w:p>
    <w:p w:rsidR="0049332F" w:rsidRDefault="00BF05E3">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480" w:lineRule="auto"/>
        <w:ind w:left="720" w:hanging="720"/>
        <w:rPr>
          <w:noProof w:val="0"/>
        </w:rPr>
      </w:pPr>
      <w:r>
        <w:rPr>
          <w:noProof w:val="0"/>
        </w:rPr>
        <w:t>Lorenz, K.Z. 1943.  Die angeborenen Formen m</w:t>
      </w:r>
      <w:r w:rsidR="00155BCF">
        <w:rPr>
          <w:noProof w:val="0"/>
        </w:rPr>
        <w:t>ö</w:t>
      </w:r>
      <w:r>
        <w:rPr>
          <w:noProof w:val="0"/>
        </w:rPr>
        <w:t xml:space="preserve">glicher Erfahrung. </w:t>
      </w:r>
      <w:r>
        <w:rPr>
          <w:noProof w:val="0"/>
          <w:u w:val="single"/>
        </w:rPr>
        <w:t>Z. Tierpsychol.</w:t>
      </w:r>
      <w:r>
        <w:rPr>
          <w:noProof w:val="0"/>
        </w:rPr>
        <w:t>, 5, 235-409.</w:t>
      </w:r>
    </w:p>
    <w:p w:rsidR="0049332F" w:rsidRDefault="00BF05E3">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480" w:lineRule="auto"/>
        <w:ind w:left="720" w:hanging="720"/>
        <w:rPr>
          <w:noProof w:val="0"/>
        </w:rPr>
      </w:pPr>
      <w:r>
        <w:rPr>
          <w:noProof w:val="0"/>
        </w:rPr>
        <w:t>Lorenz, K. 1971. S</w:t>
      </w:r>
      <w:r>
        <w:rPr>
          <w:noProof w:val="0"/>
          <w:u w:val="single"/>
        </w:rPr>
        <w:t>tudies in Animal and Human Behavior</w:t>
      </w:r>
      <w:r>
        <w:rPr>
          <w:noProof w:val="0"/>
        </w:rPr>
        <w:t>. (Vol. II).  Cambridge, Massachusetts: Harvard University Press.</w:t>
      </w:r>
    </w:p>
    <w:p w:rsidR="0049332F" w:rsidRDefault="00BF05E3">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 w:val="left" w:pos="0"/>
          <w:tab w:val="left" w:pos="432"/>
          <w:tab w:val="left" w:pos="720"/>
          <w:tab w:val="left" w:pos="1440"/>
          <w:tab w:val="left" w:pos="0"/>
          <w:tab w:val="left" w:pos="432"/>
          <w:tab w:val="left" w:pos="720"/>
        </w:tabs>
        <w:spacing w:line="480" w:lineRule="auto"/>
        <w:ind w:left="720" w:hanging="720"/>
        <w:rPr>
          <w:noProof w:val="0"/>
        </w:rPr>
      </w:pPr>
      <w:r>
        <w:rPr>
          <w:noProof w:val="0"/>
        </w:rPr>
        <w:t xml:space="preserve">Nash, S.C. &amp; Feldman, S.S. 1980.  Responsiveness to babies: Life-situation specific sex differences in adulthood.  Sex </w:t>
      </w:r>
      <w:r>
        <w:rPr>
          <w:noProof w:val="0"/>
          <w:u w:val="single"/>
        </w:rPr>
        <w:t>Roles</w:t>
      </w:r>
      <w:r>
        <w:rPr>
          <w:noProof w:val="0"/>
        </w:rPr>
        <w:t>, 6, 751-758.</w:t>
      </w:r>
    </w:p>
    <w:p w:rsidR="0049332F" w:rsidRDefault="00BF05E3">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 w:val="left" w:pos="0"/>
          <w:tab w:val="left" w:pos="432"/>
          <w:tab w:val="left" w:pos="720"/>
          <w:tab w:val="left" w:pos="1440"/>
          <w:tab w:val="left" w:pos="0"/>
          <w:tab w:val="left" w:pos="432"/>
          <w:tab w:val="left" w:pos="720"/>
        </w:tabs>
        <w:spacing w:line="480" w:lineRule="auto"/>
        <w:ind w:left="720" w:hanging="720"/>
        <w:rPr>
          <w:noProof w:val="0"/>
        </w:rPr>
      </w:pPr>
      <w:r>
        <w:rPr>
          <w:noProof w:val="0"/>
        </w:rPr>
        <w:t xml:space="preserve">Sternglanz, S.H., Gray, J.L., &amp; Murakami, M. 1977.  Adult preferences for infantile facial features: An ethological approach.  </w:t>
      </w:r>
      <w:r>
        <w:rPr>
          <w:noProof w:val="0"/>
          <w:u w:val="single"/>
        </w:rPr>
        <w:t>Anim</w:t>
      </w:r>
      <w:r>
        <w:rPr>
          <w:noProof w:val="0"/>
        </w:rPr>
        <w:t>.  Behav., 25, 108-115.</w:t>
      </w:r>
    </w:p>
    <w:p w:rsidR="00BF05E3" w:rsidRDefault="00BF05E3">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 w:val="left" w:pos="0"/>
          <w:tab w:val="left" w:pos="432"/>
          <w:tab w:val="left" w:pos="720"/>
          <w:tab w:val="left" w:pos="1440"/>
          <w:tab w:val="left" w:pos="0"/>
          <w:tab w:val="left" w:pos="432"/>
          <w:tab w:val="left" w:pos="720"/>
        </w:tabs>
        <w:spacing w:line="480" w:lineRule="auto"/>
        <w:ind w:left="720" w:hanging="720"/>
        <w:rPr>
          <w:noProof w:val="0"/>
        </w:rPr>
      </w:pPr>
    </w:p>
    <w:sectPr w:rsidR="00BF05E3" w:rsidSect="0049332F">
      <w:pgSz w:w="12240" w:h="15840"/>
      <w:pgMar w:top="1440" w:right="1584" w:bottom="1440" w:left="1440" w:gutter="0"/>
    </w:sectPr>
  </w:body>
</w:document>
</file>

<file path=word/endnotes.xml><?xml version="1.0" encoding="utf-8"?>
<w:end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endnote w:type="separator" w:id="0">
    <w:p w:rsidR="001F107F" w:rsidRDefault="001F107F" w:rsidP="004A7E05">
      <w:r>
        <w:separator/>
      </w:r>
    </w:p>
  </w:endnote>
  <w:endnote w:type="continuationSeparator" w:id="1">
    <w:p w:rsidR="001F107F" w:rsidRDefault="001F107F" w:rsidP="004A7E0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4D"/>
    <w:family w:val="modern"/>
    <w:notTrueType/>
    <w:pitch w:val="fixed"/>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footnote w:type="separator" w:id="0">
    <w:p w:rsidR="001F107F" w:rsidRDefault="001F107F" w:rsidP="004A7E05">
      <w:r>
        <w:separator/>
      </w:r>
    </w:p>
  </w:footnote>
  <w:footnote w:type="continuationSeparator" w:id="1">
    <w:p w:rsidR="001F107F" w:rsidRDefault="001F107F" w:rsidP="004A7E05">
      <w:r>
        <w:continuationSeparator/>
      </w:r>
    </w:p>
  </w:footnote>
  <w:footnote w:id="2">
    <w:p w:rsidR="004A7E05" w:rsidRDefault="004A7E05">
      <w:pPr>
        <w:pStyle w:val="FootnoteText"/>
      </w:pPr>
      <w:r>
        <w:rPr>
          <w:rStyle w:val="FootnoteReference"/>
        </w:rPr>
        <w:footnoteRef/>
      </w:r>
      <w:r>
        <w:t xml:space="preserve"> This paper is based on the </w:t>
      </w:r>
      <w:r w:rsidR="00AC4A46">
        <w:t xml:space="preserve">1989 </w:t>
      </w:r>
      <w:r>
        <w:t>honours thesis research of L. Manzer, under the supervision of F. Harrington.</w:t>
      </w:r>
    </w:p>
    <w:p w:rsidR="004A7E05" w:rsidRDefault="004A7E05">
      <w:pPr>
        <w:pStyle w:val="FootnoteText"/>
      </w:pPr>
      <w:r>
        <w:t xml:space="preserve">   Address any queries to </w:t>
      </w:r>
      <w:hyperlink r:id="rId1" w:history="1">
        <w:r w:rsidRPr="00855906">
          <w:rPr>
            <w:rStyle w:val="Hyperlink"/>
          </w:rPr>
          <w:t>fred.harrington@msvu.ca</w:t>
        </w:r>
      </w:hyperlink>
    </w:p>
    <w:p w:rsidR="004A7E05" w:rsidRDefault="004A7E05">
      <w:pPr>
        <w:pStyle w:val="FootnoteText"/>
      </w:pPr>
    </w:p>
    <w:p w:rsidR="004A7E05" w:rsidRDefault="004A7E05">
      <w:pPr>
        <w:pStyle w:val="FootnoteText"/>
      </w:pP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0"/>
    <w:footnote w:id="1"/>
  </w:footnotePr>
  <w:endnotePr>
    <w:endnote w:id="0"/>
    <w:endnote w:id="1"/>
  </w:endnotePr>
  <w:compat>
    <w:balanceSingleByteDoubleByteWidth/>
    <w:doNotLeaveBackslashAlone/>
    <w:ulTrailSpace/>
    <w:doNotExpandShiftReturn/>
  </w:compat>
  <w:rsids>
    <w:rsidRoot w:val="00197FFD"/>
    <w:rsid w:val="00027816"/>
    <w:rsid w:val="00155BCF"/>
    <w:rsid w:val="00197FFD"/>
    <w:rsid w:val="001F107F"/>
    <w:rsid w:val="0049332F"/>
    <w:rsid w:val="004A7E05"/>
    <w:rsid w:val="005E5FA6"/>
    <w:rsid w:val="005F1D7E"/>
    <w:rsid w:val="005F625A"/>
    <w:rsid w:val="007D2ABE"/>
    <w:rsid w:val="008604D3"/>
    <w:rsid w:val="00AC4A46"/>
    <w:rsid w:val="00B41D58"/>
    <w:rsid w:val="00BF05E3"/>
    <w:rsid w:val="00EA3860"/>
    <w:rsid w:val="00ED621A"/>
  </w:rsids>
  <m:mathPr>
    <m:mathFont m:val="Arial Black"/>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332F"/>
    <w:pPr>
      <w:overflowPunct w:val="0"/>
      <w:autoSpaceDE w:val="0"/>
      <w:autoSpaceDN w:val="0"/>
      <w:adjustRightInd w:val="0"/>
      <w:textAlignment w:val="baseline"/>
    </w:pPr>
    <w:rPr>
      <w:noProof/>
    </w:rPr>
  </w:style>
  <w:style w:type="paragraph" w:styleId="Heading1">
    <w:name w:val="heading 1"/>
    <w:next w:val="Normal"/>
    <w:qFormat/>
    <w:rsid w:val="0049332F"/>
    <w:pPr>
      <w:overflowPunct w:val="0"/>
      <w:autoSpaceDE w:val="0"/>
      <w:autoSpaceDN w:val="0"/>
      <w:adjustRightInd w:val="0"/>
      <w:textAlignment w:val="baseline"/>
      <w:outlineLvl w:val="0"/>
    </w:pPr>
    <w:rPr>
      <w:noProof/>
    </w:rPr>
  </w:style>
  <w:style w:type="paragraph" w:styleId="Heading2">
    <w:name w:val="heading 2"/>
    <w:next w:val="Normal"/>
    <w:qFormat/>
    <w:rsid w:val="0049332F"/>
    <w:pPr>
      <w:overflowPunct w:val="0"/>
      <w:autoSpaceDE w:val="0"/>
      <w:autoSpaceDN w:val="0"/>
      <w:adjustRightInd w:val="0"/>
      <w:textAlignment w:val="baseline"/>
      <w:outlineLvl w:val="1"/>
    </w:pPr>
    <w:rPr>
      <w:noProof/>
    </w:rPr>
  </w:style>
  <w:style w:type="paragraph" w:styleId="Heading3">
    <w:name w:val="heading 3"/>
    <w:next w:val="Normal"/>
    <w:qFormat/>
    <w:rsid w:val="0049332F"/>
    <w:pPr>
      <w:overflowPunct w:val="0"/>
      <w:autoSpaceDE w:val="0"/>
      <w:autoSpaceDN w:val="0"/>
      <w:adjustRightInd w:val="0"/>
      <w:textAlignment w:val="baseline"/>
      <w:outlineLvl w:val="2"/>
    </w:pPr>
    <w:rPr>
      <w:noProof/>
    </w:rPr>
  </w:style>
  <w:style w:type="paragraph" w:styleId="Heading4">
    <w:name w:val="heading 4"/>
    <w:next w:val="Normal"/>
    <w:qFormat/>
    <w:rsid w:val="0049332F"/>
    <w:pPr>
      <w:overflowPunct w:val="0"/>
      <w:autoSpaceDE w:val="0"/>
      <w:autoSpaceDN w:val="0"/>
      <w:adjustRightInd w:val="0"/>
      <w:textAlignment w:val="baseline"/>
      <w:outlineLvl w:val="3"/>
    </w:pPr>
    <w:rPr>
      <w:noProof/>
    </w:rPr>
  </w:style>
  <w:style w:type="paragraph" w:styleId="Heading5">
    <w:name w:val="heading 5"/>
    <w:next w:val="Normal"/>
    <w:qFormat/>
    <w:rsid w:val="0049332F"/>
    <w:pPr>
      <w:overflowPunct w:val="0"/>
      <w:autoSpaceDE w:val="0"/>
      <w:autoSpaceDN w:val="0"/>
      <w:adjustRightInd w:val="0"/>
      <w:textAlignment w:val="baseline"/>
      <w:outlineLvl w:val="4"/>
    </w:pPr>
    <w:rPr>
      <w:noProof/>
    </w:rPr>
  </w:style>
  <w:style w:type="paragraph" w:styleId="Heading6">
    <w:name w:val="heading 6"/>
    <w:next w:val="Normal"/>
    <w:qFormat/>
    <w:rsid w:val="0049332F"/>
    <w:pPr>
      <w:overflowPunct w:val="0"/>
      <w:autoSpaceDE w:val="0"/>
      <w:autoSpaceDN w:val="0"/>
      <w:adjustRightInd w:val="0"/>
      <w:textAlignment w:val="baseline"/>
      <w:outlineLvl w:val="5"/>
    </w:pPr>
    <w:rPr>
      <w:noProof/>
    </w:rPr>
  </w:style>
  <w:style w:type="paragraph" w:styleId="Heading7">
    <w:name w:val="heading 7"/>
    <w:next w:val="Normal"/>
    <w:qFormat/>
    <w:rsid w:val="0049332F"/>
    <w:pPr>
      <w:overflowPunct w:val="0"/>
      <w:autoSpaceDE w:val="0"/>
      <w:autoSpaceDN w:val="0"/>
      <w:adjustRightInd w:val="0"/>
      <w:textAlignment w:val="baseline"/>
      <w:outlineLvl w:val="6"/>
    </w:pPr>
    <w:rPr>
      <w:noProof/>
    </w:rPr>
  </w:style>
  <w:style w:type="paragraph" w:styleId="Heading8">
    <w:name w:val="heading 8"/>
    <w:next w:val="Normal"/>
    <w:qFormat/>
    <w:rsid w:val="0049332F"/>
    <w:pPr>
      <w:overflowPunct w:val="0"/>
      <w:autoSpaceDE w:val="0"/>
      <w:autoSpaceDN w:val="0"/>
      <w:adjustRightInd w:val="0"/>
      <w:textAlignment w:val="baseline"/>
      <w:outlineLvl w:val="7"/>
    </w:pPr>
    <w:rPr>
      <w:noProof/>
    </w:rPr>
  </w:style>
  <w:style w:type="paragraph" w:styleId="Heading9">
    <w:name w:val="heading 9"/>
    <w:next w:val="Normal"/>
    <w:qFormat/>
    <w:rsid w:val="0049332F"/>
    <w:pPr>
      <w:overflowPunct w:val="0"/>
      <w:autoSpaceDE w:val="0"/>
      <w:autoSpaceDN w:val="0"/>
      <w:adjustRightInd w:val="0"/>
      <w:textAlignment w:val="baseline"/>
      <w:outlineLvl w:val="8"/>
    </w:pPr>
    <w:rPr>
      <w:noProof/>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PlainText">
    <w:name w:val="Plain Text"/>
    <w:basedOn w:val="Normal"/>
    <w:semiHidden/>
    <w:rsid w:val="0049332F"/>
    <w:pPr>
      <w:overflowPunct/>
      <w:autoSpaceDE/>
      <w:autoSpaceDN/>
      <w:adjustRightInd/>
      <w:textAlignment w:val="auto"/>
    </w:pPr>
    <w:rPr>
      <w:rFonts w:ascii="Courier New" w:hAnsi="Courier New" w:cs="Courier New"/>
      <w:noProof w:val="0"/>
    </w:rPr>
  </w:style>
  <w:style w:type="paragraph" w:styleId="BlockText">
    <w:name w:val="Block Text"/>
    <w:basedOn w:val="Normal"/>
    <w:semiHidden/>
    <w:rsid w:val="0049332F"/>
    <w:pPr>
      <w:tabs>
        <w:tab w:val="left" w:pos="0"/>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0"/>
        <w:tab w:val="left" w:pos="576"/>
        <w:tab w:val="left" w:pos="720"/>
        <w:tab w:val="left" w:pos="14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31680"/>
        <w:tab w:val="left" w:pos="-31680"/>
        <w:tab w:val="left" w:pos="-30976"/>
        <w:tab w:val="left" w:pos="-30256"/>
        <w:tab w:val="left" w:pos="0"/>
        <w:tab w:val="left" w:pos="9216"/>
        <w:tab w:val="left" w:pos="9360"/>
        <w:tab w:val="left" w:pos="10080"/>
        <w:tab w:val="left" w:pos="-30976"/>
        <w:tab w:val="left" w:pos="-30256"/>
      </w:tabs>
      <w:ind w:left="720" w:right="720"/>
    </w:pPr>
    <w:rPr>
      <w:noProof w:val="0"/>
    </w:rPr>
  </w:style>
  <w:style w:type="paragraph" w:styleId="FootnoteText">
    <w:name w:val="footnote text"/>
    <w:basedOn w:val="Normal"/>
    <w:link w:val="FootnoteTextChar"/>
    <w:uiPriority w:val="99"/>
    <w:semiHidden/>
    <w:unhideWhenUsed/>
    <w:rsid w:val="004A7E05"/>
  </w:style>
  <w:style w:type="character" w:customStyle="1" w:styleId="FootnoteTextChar">
    <w:name w:val="Footnote Text Char"/>
    <w:basedOn w:val="DefaultParagraphFont"/>
    <w:link w:val="FootnoteText"/>
    <w:uiPriority w:val="99"/>
    <w:semiHidden/>
    <w:rsid w:val="004A7E05"/>
    <w:rPr>
      <w:noProof/>
    </w:rPr>
  </w:style>
  <w:style w:type="character" w:styleId="FootnoteReference">
    <w:name w:val="footnote reference"/>
    <w:basedOn w:val="DefaultParagraphFont"/>
    <w:uiPriority w:val="99"/>
    <w:semiHidden/>
    <w:unhideWhenUsed/>
    <w:rsid w:val="004A7E05"/>
    <w:rPr>
      <w:vertAlign w:val="superscript"/>
    </w:rPr>
  </w:style>
  <w:style w:type="character" w:styleId="Hyperlink">
    <w:name w:val="Hyperlink"/>
    <w:basedOn w:val="DefaultParagraphFont"/>
    <w:uiPriority w:val="99"/>
    <w:unhideWhenUsed/>
    <w:rsid w:val="004A7E05"/>
    <w:rPr>
      <w:color w:val="0000FF"/>
      <w:u w:val="single"/>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4" Type="http://schemas.openxmlformats.org/officeDocument/2006/relationships/webSettings" Target="webSettings.xml"/><Relationship Id="rId10" Type="http://schemas.openxmlformats.org/officeDocument/2006/relationships/theme" Target="theme/theme1.xml"/><Relationship Id="rId5" Type="http://schemas.openxmlformats.org/officeDocument/2006/relationships/footnotes" Target="footnotes.xml"/><Relationship Id="rId7" Type="http://schemas.openxmlformats.org/officeDocument/2006/relationships/image" Target="media/image1.wmf"/><Relationship Id="rId1" Type="http://schemas.openxmlformats.org/officeDocument/2006/relationships/customXml" Target="../customXml/item1.xml"/><Relationship Id="rId2" Type="http://schemas.openxmlformats.org/officeDocument/2006/relationships/styles" Target="styles.xml"/><Relationship Id="rId9" Type="http://schemas.openxmlformats.org/officeDocument/2006/relationships/fontTable" Target="fontTable.xml"/><Relationship Id="rId3" Type="http://schemas.openxmlformats.org/officeDocument/2006/relationships/settings" Target="settings.xml"/><Relationship Id="rId6" Type="http://schemas.openxmlformats.org/officeDocument/2006/relationships/endnotes" Target="endnotes.xml"/></Relationships>
</file>

<file path=word/_rels/footnotes.xml.rels><?xml version="1.0" encoding="UTF-8" standalone="yes"?>
<Relationships xmlns="http://schemas.openxmlformats.org/package/2006/relationships"><Relationship Id="rId1" Type="http://schemas.openxmlformats.org/officeDocument/2006/relationships/hyperlink" Target="mailto:fred.harrington@msvu.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7D9714-24DD-4803-9FF3-A8DCEC882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1359</Words>
  <Characters>7749</Characters>
  <Application>Microsoft Word 12.0.0</Application>
  <DocSecurity>0</DocSecurity>
  <Lines>64</Lines>
  <Paragraphs>15</Paragraphs>
  <ScaleCrop>false</ScaleCrop>
  <HeadingPairs>
    <vt:vector size="2" baseType="variant">
      <vt:variant>
        <vt:lpstr>Title</vt:lpstr>
      </vt:variant>
      <vt:variant>
        <vt:i4>1</vt:i4>
      </vt:variant>
    </vt:vector>
  </HeadingPairs>
  <TitlesOfParts>
    <vt:vector size="1" baseType="lpstr">
      <vt:lpstr/>
    </vt:vector>
  </TitlesOfParts>
  <Company>Dell Computer Corporation</Company>
  <LinksUpToDate>false</LinksUpToDate>
  <CharactersWithSpaces>9516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 Harrington</dc:creator>
  <cp:keywords/>
  <cp:lastModifiedBy>Roger Gillis</cp:lastModifiedBy>
  <cp:revision>2</cp:revision>
  <dcterms:created xsi:type="dcterms:W3CDTF">2009-11-21T23:47:00Z</dcterms:created>
  <dcterms:modified xsi:type="dcterms:W3CDTF">2009-11-21T23:47:00Z</dcterms:modified>
</cp:coreProperties>
</file>